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Why is it important to place living things into categories?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Describe Aristotle’s classification system, and explain why it was replaced.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Explain Linnaeus’s system of classification, and identify the main criterion he used to classify organisms.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What are the seven levels of organization that Linnaeus used to categorize organisms?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What criterion do modern taxonomists use to classify an organism?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What are two reasons that species names are more precise than common names?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What is systematic taxonomy, and what are four kinds of evidence used organize organisms?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How can the embryological evidence be used to show phylogenetic relationships that are not evident from either the study or morphology or the study of the fossil record?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